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19" w:rsidRDefault="00527919" w:rsidP="00527919">
      <w:pPr>
        <w:pStyle w:val="Titre1"/>
        <w:jc w:val="center"/>
      </w:pPr>
      <w:r>
        <w:t>RÉPUBLIQUE ALGÉRIENNE DÉMOCRATIQUE ET POPULAIRE</w:t>
      </w:r>
    </w:p>
    <w:p w:rsidR="00527919" w:rsidRDefault="00527919" w:rsidP="00527919">
      <w:pPr>
        <w:jc w:val="center"/>
        <w:rPr>
          <w:b/>
          <w:sz w:val="28"/>
          <w:szCs w:val="28"/>
          <w:lang w:val="fr-FR"/>
        </w:rPr>
      </w:pPr>
      <w:r>
        <w:rPr>
          <w:b/>
          <w:sz w:val="28"/>
          <w:szCs w:val="28"/>
          <w:lang w:val="fr-FR"/>
        </w:rPr>
        <w:t>MINISTÈRE DE L’ENSEIGNEMENT SUPÉRIEUR ET DE LA RECHERCHE SCIENTIFIQUE</w:t>
      </w:r>
    </w:p>
    <w:p w:rsidR="00527919" w:rsidRDefault="00527919" w:rsidP="00527919">
      <w:pPr>
        <w:jc w:val="center"/>
        <w:rPr>
          <w:b/>
          <w:sz w:val="28"/>
          <w:szCs w:val="28"/>
          <w:lang w:val="fr-FR"/>
        </w:rPr>
      </w:pPr>
      <w:r>
        <w:rPr>
          <w:b/>
          <w:sz w:val="28"/>
          <w:szCs w:val="28"/>
          <w:lang w:val="fr-FR"/>
        </w:rPr>
        <w:t>UNIVERSITÉ MOULOUD MAMMERI DE TIZI-OUZOU.</w:t>
      </w:r>
    </w:p>
    <w:p w:rsidR="00527919" w:rsidRDefault="00527919" w:rsidP="00527919">
      <w:pPr>
        <w:pStyle w:val="Titre2"/>
        <w:rPr>
          <w:bCs w:val="0"/>
          <w:sz w:val="28"/>
          <w:szCs w:val="28"/>
          <w:u w:val="dotDotDash"/>
        </w:rPr>
      </w:pPr>
      <w:r>
        <w:rPr>
          <w:bCs w:val="0"/>
          <w:sz w:val="28"/>
          <w:szCs w:val="28"/>
          <w:u w:val="dotDotDash"/>
        </w:rPr>
        <w:t xml:space="preserve">Faculté des Sciences Humaines et Sociales </w:t>
      </w:r>
    </w:p>
    <w:p w:rsidR="00527919" w:rsidRDefault="00527919" w:rsidP="00527919">
      <w:pPr>
        <w:pStyle w:val="Titre2"/>
        <w:rPr>
          <w:bCs w:val="0"/>
          <w:sz w:val="28"/>
          <w:szCs w:val="28"/>
          <w:u w:val="dotDotDash"/>
        </w:rPr>
      </w:pPr>
      <w:r>
        <w:rPr>
          <w:bCs w:val="0"/>
          <w:sz w:val="28"/>
          <w:szCs w:val="28"/>
          <w:u w:val="dotDotDash"/>
        </w:rPr>
        <w:t>AVIS D’ATTRIBUTION PROVISOIRE DE CONVENTION</w:t>
      </w:r>
    </w:p>
    <w:p w:rsidR="00527919" w:rsidRDefault="00527919" w:rsidP="00527919">
      <w:pPr>
        <w:ind w:firstLine="708"/>
        <w:jc w:val="both"/>
        <w:rPr>
          <w:sz w:val="28"/>
          <w:szCs w:val="28"/>
          <w:lang w:val="fr-FR"/>
        </w:rPr>
      </w:pPr>
    </w:p>
    <w:p w:rsidR="00527919" w:rsidRPr="00E8245C" w:rsidRDefault="00527919" w:rsidP="00151651">
      <w:pPr>
        <w:spacing w:line="340" w:lineRule="atLeast"/>
        <w:jc w:val="both"/>
        <w:rPr>
          <w:sz w:val="22"/>
          <w:szCs w:val="22"/>
          <w:lang w:val="fr-FR"/>
        </w:rPr>
      </w:pPr>
      <w:r w:rsidRPr="00E8245C">
        <w:rPr>
          <w:sz w:val="22"/>
          <w:szCs w:val="22"/>
          <w:lang w:val="fr-FR"/>
        </w:rPr>
        <w:t xml:space="preserve"> </w:t>
      </w:r>
      <w:r w:rsidRPr="00E8245C">
        <w:rPr>
          <w:sz w:val="22"/>
          <w:szCs w:val="22"/>
          <w:lang w:val="fr-FR"/>
        </w:rPr>
        <w:tab/>
        <w:t xml:space="preserve">Conformément aux dispositions des </w:t>
      </w:r>
      <w:r w:rsidRPr="00E8245C">
        <w:rPr>
          <w:color w:val="000000"/>
          <w:sz w:val="22"/>
          <w:szCs w:val="22"/>
          <w:lang w:val="fr-FR"/>
        </w:rPr>
        <w:t>articles 65 et 82 du décret présidentiel n°15-247 du 16 Septembre 2015</w:t>
      </w:r>
      <w:r w:rsidRPr="00E8245C">
        <w:rPr>
          <w:sz w:val="22"/>
          <w:szCs w:val="22"/>
          <w:lang w:val="fr-FR"/>
        </w:rPr>
        <w:t xml:space="preserve"> portant réglementation  des  marchés  publics  et délégation de service  public, la Faculté des Sciences Humaines et Sociale de  l’Université Mouloud  MAMMERI - Tizi-Ouzou.  </w:t>
      </w:r>
      <w:r w:rsidRPr="00E8245C">
        <w:rPr>
          <w:b/>
          <w:color w:val="000000"/>
          <w:sz w:val="22"/>
          <w:szCs w:val="22"/>
          <w:lang w:val="fr-FR"/>
        </w:rPr>
        <w:t>,</w:t>
      </w:r>
      <w:r w:rsidRPr="00E8245C">
        <w:rPr>
          <w:color w:val="FF0000"/>
          <w:sz w:val="22"/>
          <w:szCs w:val="22"/>
          <w:lang w:val="fr-FR"/>
        </w:rPr>
        <w:t xml:space="preserve"> </w:t>
      </w:r>
      <w:r w:rsidRPr="00E8245C">
        <w:rPr>
          <w:sz w:val="22"/>
          <w:szCs w:val="22"/>
          <w:lang w:val="fr-FR"/>
        </w:rPr>
        <w:t xml:space="preserve">informe  l’ensemble des  soumissionnaires  ayant   participé  à  la consultation  </w:t>
      </w:r>
      <w:r w:rsidRPr="00E8245C">
        <w:rPr>
          <w:b/>
          <w:bCs/>
          <w:color w:val="000000" w:themeColor="text1"/>
          <w:sz w:val="22"/>
          <w:szCs w:val="22"/>
          <w:lang w:val="fr-FR"/>
        </w:rPr>
        <w:t>N°1</w:t>
      </w:r>
      <w:r w:rsidR="00151651" w:rsidRPr="00E8245C">
        <w:rPr>
          <w:b/>
          <w:bCs/>
          <w:color w:val="000000" w:themeColor="text1"/>
          <w:sz w:val="22"/>
          <w:szCs w:val="22"/>
          <w:lang w:val="fr-FR"/>
        </w:rPr>
        <w:t>1</w:t>
      </w:r>
      <w:r w:rsidRPr="00E8245C">
        <w:rPr>
          <w:color w:val="000000" w:themeColor="text1"/>
          <w:sz w:val="22"/>
          <w:szCs w:val="22"/>
          <w:lang w:val="fr-FR"/>
        </w:rPr>
        <w:t xml:space="preserve">/SMM/FSHS/UMMTO/2023 portant </w:t>
      </w:r>
      <w:r w:rsidRPr="00E8245C">
        <w:rPr>
          <w:rFonts w:ascii="Trebuchet MS" w:hAnsi="Trebuchet MS"/>
          <w:i/>
          <w:sz w:val="22"/>
          <w:szCs w:val="22"/>
          <w:lang w:val="fr-FR"/>
        </w:rPr>
        <w:t>«</w:t>
      </w:r>
      <w:r w:rsidR="00374570" w:rsidRPr="00E8245C">
        <w:rPr>
          <w:rFonts w:ascii="Trebuchet MS" w:hAnsi="Trebuchet MS" w:cs="Arial"/>
          <w:b/>
          <w:sz w:val="22"/>
          <w:szCs w:val="22"/>
          <w:lang w:val="fr-FR"/>
        </w:rPr>
        <w:t xml:space="preserve">Travaux d’entretien et réparation des immeubles à usage administratifs et pédagogiques </w:t>
      </w:r>
      <w:r w:rsidRPr="00E8245C">
        <w:rPr>
          <w:rFonts w:ascii="Trebuchet MS" w:hAnsi="Trebuchet MS" w:cs="Arial"/>
          <w:b/>
          <w:sz w:val="22"/>
          <w:szCs w:val="22"/>
          <w:lang w:val="fr-FR"/>
        </w:rPr>
        <w:t xml:space="preserve">  au profit de la Faculté des Sciences Humaines et Sociales de </w:t>
      </w:r>
      <w:r w:rsidRPr="00E8245C">
        <w:rPr>
          <w:b/>
          <w:bCs/>
          <w:sz w:val="22"/>
          <w:szCs w:val="22"/>
          <w:lang w:val="fr-FR"/>
        </w:rPr>
        <w:t>l’Université Mouloud  MAMMERI - Tizi-Ouzou</w:t>
      </w:r>
      <w:r w:rsidRPr="00E8245C">
        <w:rPr>
          <w:rFonts w:ascii="Trebuchet MS" w:hAnsi="Trebuchet MS"/>
          <w:sz w:val="22"/>
          <w:szCs w:val="22"/>
          <w:lang w:val="fr-FR"/>
        </w:rPr>
        <w:t xml:space="preserve"> » dans le cadre du budget de fonctionnement2023, chapitre 22-</w:t>
      </w:r>
      <w:r w:rsidR="00151651" w:rsidRPr="00E8245C">
        <w:rPr>
          <w:rFonts w:ascii="Trebuchet MS" w:hAnsi="Trebuchet MS"/>
          <w:sz w:val="22"/>
          <w:szCs w:val="22"/>
          <w:lang w:val="fr-FR"/>
        </w:rPr>
        <w:t>18</w:t>
      </w:r>
      <w:r w:rsidRPr="00E8245C">
        <w:rPr>
          <w:rFonts w:ascii="Trebuchet MS" w:hAnsi="Trebuchet MS"/>
          <w:sz w:val="22"/>
          <w:szCs w:val="22"/>
          <w:lang w:val="fr-FR"/>
        </w:rPr>
        <w:t xml:space="preserve"> article 01</w:t>
      </w:r>
      <w:r w:rsidRPr="00E8245C">
        <w:rPr>
          <w:color w:val="000000" w:themeColor="text1"/>
          <w:sz w:val="22"/>
          <w:szCs w:val="22"/>
          <w:lang w:val="fr-FR"/>
        </w:rPr>
        <w:t xml:space="preserve"> qui</w:t>
      </w:r>
      <w:r w:rsidRPr="00E8245C">
        <w:rPr>
          <w:sz w:val="22"/>
          <w:szCs w:val="22"/>
          <w:lang w:val="fr-FR"/>
        </w:rPr>
        <w:t xml:space="preserve"> a fait l’objet d’un  affichage public et de publication sur le site web de l’université</w:t>
      </w:r>
      <w:r w:rsidRPr="00E8245C">
        <w:rPr>
          <w:color w:val="000000"/>
          <w:sz w:val="22"/>
          <w:szCs w:val="22"/>
          <w:lang w:val="fr-FR"/>
        </w:rPr>
        <w:t xml:space="preserve">, </w:t>
      </w:r>
      <w:r w:rsidRPr="00E8245C">
        <w:rPr>
          <w:sz w:val="22"/>
          <w:szCs w:val="22"/>
          <w:lang w:val="fr-FR"/>
        </w:rPr>
        <w:t xml:space="preserve">qu’à l’issue de l’évaluation et l’analyse des offres, la convention  relative </w:t>
      </w:r>
      <w:r w:rsidRPr="00E8245C">
        <w:rPr>
          <w:color w:val="000000" w:themeColor="text1"/>
          <w:sz w:val="22"/>
          <w:szCs w:val="22"/>
          <w:lang w:val="fr-FR"/>
        </w:rPr>
        <w:t>à cette opération a</w:t>
      </w:r>
      <w:r w:rsidRPr="00E8245C">
        <w:rPr>
          <w:sz w:val="22"/>
          <w:szCs w:val="22"/>
          <w:lang w:val="fr-FR"/>
        </w:rPr>
        <w:t xml:space="preserve"> été  attribuée provisoirement au soumissionnaire suivant, et selon les critères prévus dans le cahier des charges : </w:t>
      </w:r>
    </w:p>
    <w:tbl>
      <w:tblPr>
        <w:tblStyle w:val="Grilledutableau"/>
        <w:tblW w:w="0" w:type="auto"/>
        <w:tblLayout w:type="fixed"/>
        <w:tblLook w:val="04A0"/>
      </w:tblPr>
      <w:tblGrid>
        <w:gridCol w:w="2464"/>
        <w:gridCol w:w="2464"/>
        <w:gridCol w:w="2835"/>
        <w:gridCol w:w="2551"/>
        <w:gridCol w:w="1685"/>
        <w:gridCol w:w="2219"/>
      </w:tblGrid>
      <w:tr w:rsidR="00374570" w:rsidTr="00194B96">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4570" w:rsidRPr="00E8245C" w:rsidRDefault="00374570" w:rsidP="0095280D">
            <w:pPr>
              <w:jc w:val="center"/>
              <w:rPr>
                <w:rFonts w:asciiTheme="majorHAnsi" w:hAnsiTheme="majorHAnsi"/>
                <w:b/>
                <w:bCs/>
                <w:sz w:val="24"/>
                <w:szCs w:val="24"/>
                <w:lang w:val="fr-FR" w:eastAsia="en-US"/>
              </w:rPr>
            </w:pPr>
            <w:r w:rsidRPr="00E8245C">
              <w:rPr>
                <w:rFonts w:asciiTheme="majorHAnsi" w:hAnsiTheme="majorHAnsi"/>
                <w:b/>
                <w:bCs/>
                <w:sz w:val="24"/>
                <w:szCs w:val="24"/>
                <w:lang w:val="fr-FR" w:eastAsia="en-US"/>
              </w:rPr>
              <w:t>L’Intitulé de l’Avis de la consultation</w:t>
            </w:r>
          </w:p>
          <w:p w:rsidR="00374570" w:rsidRPr="00E8245C" w:rsidRDefault="00374570" w:rsidP="0095280D">
            <w:pPr>
              <w:spacing w:line="340" w:lineRule="atLeast"/>
              <w:jc w:val="center"/>
              <w:rPr>
                <w:sz w:val="24"/>
                <w:szCs w:val="24"/>
                <w:lang w:val="fr-FR" w:eastAsia="en-US"/>
              </w:rPr>
            </w:pPr>
          </w:p>
        </w:tc>
        <w:tc>
          <w:tcPr>
            <w:tcW w:w="2464" w:type="dxa"/>
            <w:tcBorders>
              <w:top w:val="single" w:sz="4" w:space="0" w:color="auto"/>
              <w:left w:val="single" w:sz="4" w:space="0" w:color="000000" w:themeColor="text1"/>
              <w:bottom w:val="single" w:sz="4" w:space="0" w:color="auto"/>
              <w:right w:val="single" w:sz="4" w:space="0" w:color="auto"/>
            </w:tcBorders>
            <w:hideMark/>
          </w:tcPr>
          <w:p w:rsidR="00374570" w:rsidRPr="00E8245C" w:rsidRDefault="00374570" w:rsidP="0095280D">
            <w:pPr>
              <w:spacing w:line="340" w:lineRule="atLeast"/>
              <w:jc w:val="center"/>
              <w:rPr>
                <w:sz w:val="24"/>
                <w:szCs w:val="24"/>
                <w:lang w:val="fr-FR" w:eastAsia="en-US"/>
              </w:rPr>
            </w:pPr>
            <w:r w:rsidRPr="00E8245C">
              <w:rPr>
                <w:sz w:val="24"/>
                <w:szCs w:val="24"/>
                <w:lang w:val="fr-FR" w:eastAsia="en-US"/>
              </w:rPr>
              <w:t>Lot</w:t>
            </w:r>
            <w:r w:rsidR="00E8245C">
              <w:rPr>
                <w:sz w:val="24"/>
                <w:szCs w:val="24"/>
                <w:lang w:val="fr-FR" w:eastAsia="en-US"/>
              </w:rPr>
              <w:t>s</w:t>
            </w:r>
            <w:r w:rsidRPr="00E8245C">
              <w:rPr>
                <w:sz w:val="24"/>
                <w:szCs w:val="24"/>
                <w:lang w:val="fr-FR" w:eastAsia="en-US"/>
              </w:rPr>
              <w:t xml:space="preserve"> </w:t>
            </w:r>
          </w:p>
        </w:tc>
        <w:tc>
          <w:tcPr>
            <w:tcW w:w="2835" w:type="dxa"/>
            <w:tcBorders>
              <w:top w:val="single" w:sz="4" w:space="0" w:color="000000" w:themeColor="text1"/>
              <w:left w:val="single" w:sz="4" w:space="0" w:color="auto"/>
              <w:bottom w:val="single" w:sz="4" w:space="0" w:color="auto"/>
              <w:right w:val="single" w:sz="4" w:space="0" w:color="000000" w:themeColor="text1"/>
            </w:tcBorders>
          </w:tcPr>
          <w:p w:rsidR="00374570" w:rsidRPr="00E8245C" w:rsidRDefault="00374570" w:rsidP="0095280D">
            <w:pPr>
              <w:spacing w:line="340" w:lineRule="atLeast"/>
              <w:jc w:val="center"/>
              <w:rPr>
                <w:sz w:val="24"/>
                <w:szCs w:val="24"/>
                <w:lang w:val="fr-FR" w:eastAsia="en-US"/>
              </w:rPr>
            </w:pPr>
            <w:r w:rsidRPr="00E8245C">
              <w:rPr>
                <w:rFonts w:asciiTheme="majorHAnsi" w:hAnsiTheme="majorHAnsi"/>
                <w:b/>
                <w:bCs/>
                <w:sz w:val="24"/>
                <w:szCs w:val="24"/>
                <w:lang w:val="fr-FR" w:eastAsia="en-US"/>
              </w:rPr>
              <w:t>Soumissionnaire retenu</w:t>
            </w:r>
          </w:p>
        </w:tc>
        <w:tc>
          <w:tcPr>
            <w:tcW w:w="25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4570" w:rsidRPr="00E8245C" w:rsidRDefault="00374570" w:rsidP="0095280D">
            <w:pPr>
              <w:spacing w:line="340" w:lineRule="atLeast"/>
              <w:jc w:val="center"/>
              <w:rPr>
                <w:sz w:val="24"/>
                <w:szCs w:val="24"/>
                <w:lang w:val="fr-FR" w:eastAsia="en-US"/>
              </w:rPr>
            </w:pPr>
            <w:r w:rsidRPr="00E8245C">
              <w:rPr>
                <w:rFonts w:asciiTheme="majorHAnsi" w:hAnsiTheme="majorHAnsi"/>
                <w:b/>
                <w:bCs/>
                <w:sz w:val="24"/>
                <w:szCs w:val="24"/>
                <w:lang w:val="fr-FR" w:eastAsia="en-US"/>
              </w:rPr>
              <w:t>Montant en TTC DA</w:t>
            </w:r>
          </w:p>
        </w:tc>
        <w:tc>
          <w:tcPr>
            <w:tcW w:w="168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4570" w:rsidRPr="00E8245C" w:rsidRDefault="00374570" w:rsidP="0095280D">
            <w:pPr>
              <w:pStyle w:val="Corpsdetexte"/>
              <w:ind w:right="16"/>
              <w:jc w:val="center"/>
              <w:rPr>
                <w:rFonts w:asciiTheme="majorHAnsi" w:hAnsiTheme="majorHAnsi"/>
                <w:b/>
                <w:bCs/>
                <w:lang w:val="fr-FR" w:eastAsia="en-US"/>
              </w:rPr>
            </w:pPr>
            <w:r w:rsidRPr="00E8245C">
              <w:rPr>
                <w:rFonts w:asciiTheme="majorHAnsi" w:hAnsiTheme="majorHAnsi"/>
                <w:b/>
                <w:bCs/>
                <w:lang w:val="fr-FR" w:eastAsia="en-US"/>
              </w:rPr>
              <w:t>Note</w:t>
            </w:r>
          </w:p>
          <w:p w:rsidR="00374570" w:rsidRPr="00E8245C" w:rsidRDefault="00374570" w:rsidP="0095280D">
            <w:pPr>
              <w:jc w:val="center"/>
              <w:rPr>
                <w:rFonts w:asciiTheme="majorHAnsi" w:hAnsiTheme="majorHAnsi"/>
                <w:b/>
                <w:bCs/>
                <w:sz w:val="24"/>
                <w:szCs w:val="24"/>
                <w:lang w:val="fr-FR" w:eastAsia="en-US"/>
              </w:rPr>
            </w:pPr>
            <w:r w:rsidRPr="00E8245C">
              <w:rPr>
                <w:rFonts w:asciiTheme="majorHAnsi" w:hAnsiTheme="majorHAnsi"/>
                <w:b/>
                <w:bCs/>
                <w:sz w:val="24"/>
                <w:szCs w:val="24"/>
                <w:lang w:val="fr-FR" w:eastAsia="en-US"/>
              </w:rPr>
              <w:t>technique</w:t>
            </w:r>
          </w:p>
          <w:p w:rsidR="00374570" w:rsidRPr="00E8245C" w:rsidRDefault="00374570" w:rsidP="0095280D">
            <w:pPr>
              <w:spacing w:line="340" w:lineRule="atLeast"/>
              <w:jc w:val="center"/>
              <w:rPr>
                <w:sz w:val="24"/>
                <w:szCs w:val="24"/>
                <w:lang w:val="fr-FR" w:eastAsia="en-US"/>
              </w:rPr>
            </w:pPr>
            <w:r w:rsidRPr="00E8245C">
              <w:rPr>
                <w:rFonts w:asciiTheme="majorHAnsi" w:hAnsiTheme="majorHAnsi"/>
                <w:b/>
                <w:bCs/>
                <w:sz w:val="24"/>
                <w:szCs w:val="24"/>
                <w:lang w:val="fr-FR" w:eastAsia="en-US"/>
              </w:rPr>
              <w:t>20 points</w:t>
            </w:r>
          </w:p>
        </w:tc>
        <w:tc>
          <w:tcPr>
            <w:tcW w:w="221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4570" w:rsidRPr="00E8245C" w:rsidRDefault="00374570" w:rsidP="0095280D">
            <w:pPr>
              <w:jc w:val="center"/>
              <w:rPr>
                <w:rFonts w:asciiTheme="majorHAnsi" w:hAnsiTheme="majorHAnsi"/>
                <w:b/>
                <w:bCs/>
                <w:sz w:val="24"/>
                <w:szCs w:val="24"/>
                <w:lang w:val="fr-FR" w:eastAsia="en-US"/>
              </w:rPr>
            </w:pPr>
            <w:r w:rsidRPr="00E8245C">
              <w:rPr>
                <w:rFonts w:asciiTheme="majorHAnsi" w:hAnsiTheme="majorHAnsi"/>
                <w:b/>
                <w:bCs/>
                <w:sz w:val="24"/>
                <w:szCs w:val="24"/>
                <w:lang w:val="fr-FR" w:eastAsia="en-US"/>
              </w:rPr>
              <w:t>Caractères</w:t>
            </w:r>
          </w:p>
          <w:p w:rsidR="00374570" w:rsidRPr="00E8245C" w:rsidRDefault="00374570" w:rsidP="0095280D">
            <w:pPr>
              <w:spacing w:line="340" w:lineRule="atLeast"/>
              <w:jc w:val="center"/>
              <w:rPr>
                <w:sz w:val="24"/>
                <w:szCs w:val="24"/>
                <w:lang w:val="fr-FR" w:eastAsia="en-US"/>
              </w:rPr>
            </w:pPr>
            <w:r w:rsidRPr="00E8245C">
              <w:rPr>
                <w:rFonts w:asciiTheme="majorHAnsi" w:hAnsiTheme="majorHAnsi"/>
                <w:b/>
                <w:bCs/>
                <w:sz w:val="24"/>
                <w:szCs w:val="24"/>
                <w:lang w:val="fr-FR" w:eastAsia="en-US"/>
              </w:rPr>
              <w:t>de Choix</w:t>
            </w:r>
          </w:p>
        </w:tc>
      </w:tr>
      <w:tr w:rsidR="00374570" w:rsidTr="00194B96">
        <w:trPr>
          <w:trHeight w:val="1125"/>
        </w:trPr>
        <w:tc>
          <w:tcPr>
            <w:tcW w:w="2464" w:type="dxa"/>
            <w:vMerge w:val="restart"/>
            <w:tcBorders>
              <w:top w:val="single" w:sz="4" w:space="0" w:color="000000" w:themeColor="text1"/>
              <w:left w:val="single" w:sz="4" w:space="0" w:color="000000" w:themeColor="text1"/>
              <w:right w:val="single" w:sz="4" w:space="0" w:color="000000" w:themeColor="text1"/>
            </w:tcBorders>
          </w:tcPr>
          <w:p w:rsidR="00374570" w:rsidRPr="00E8245C" w:rsidRDefault="00151651" w:rsidP="0095280D">
            <w:pPr>
              <w:spacing w:line="340" w:lineRule="atLeast"/>
              <w:rPr>
                <w:b/>
                <w:bCs/>
                <w:lang w:val="fr-FR" w:eastAsia="en-US"/>
              </w:rPr>
            </w:pPr>
            <w:r w:rsidRPr="00E8245C">
              <w:rPr>
                <w:rFonts w:ascii="Trebuchet MS" w:hAnsi="Trebuchet MS" w:cs="Arial"/>
                <w:b/>
                <w:lang w:val="fr-FR"/>
              </w:rPr>
              <w:t xml:space="preserve">Travaux d’entretien et réparation des immeubles à usage administratifs et pédagogiques   </w:t>
            </w:r>
            <w:r w:rsidR="00374570" w:rsidRPr="00E8245C">
              <w:rPr>
                <w:rFonts w:ascii="Trebuchet MS" w:hAnsi="Trebuchet MS" w:cs="Arial"/>
                <w:b/>
                <w:lang w:val="fr-FR" w:eastAsia="en-US"/>
              </w:rPr>
              <w:t xml:space="preserve">au profit de la Faculté des Sciences Humaines et Sociales de </w:t>
            </w:r>
            <w:r w:rsidR="00374570" w:rsidRPr="00E8245C">
              <w:rPr>
                <w:b/>
                <w:bCs/>
                <w:lang w:val="fr-FR" w:eastAsia="en-US"/>
              </w:rPr>
              <w:t>l’Université Mouloud  MAMMERI - Tizi-Ouzou</w:t>
            </w:r>
          </w:p>
          <w:p w:rsidR="00374570" w:rsidRPr="00E8245C" w:rsidRDefault="00374570" w:rsidP="00374570">
            <w:pPr>
              <w:spacing w:line="340" w:lineRule="atLeast"/>
              <w:rPr>
                <w:lang w:val="fr-FR" w:eastAsia="en-US"/>
              </w:rPr>
            </w:pPr>
          </w:p>
        </w:tc>
        <w:tc>
          <w:tcPr>
            <w:tcW w:w="2464" w:type="dxa"/>
            <w:tcBorders>
              <w:top w:val="single" w:sz="4" w:space="0" w:color="000000" w:themeColor="text1"/>
              <w:left w:val="single" w:sz="4" w:space="0" w:color="000000" w:themeColor="text1"/>
              <w:bottom w:val="single" w:sz="4" w:space="0" w:color="auto"/>
              <w:right w:val="single" w:sz="4" w:space="0" w:color="auto"/>
            </w:tcBorders>
          </w:tcPr>
          <w:p w:rsidR="00374570" w:rsidRPr="00194B96" w:rsidRDefault="00374570" w:rsidP="0095280D">
            <w:pPr>
              <w:spacing w:line="340" w:lineRule="atLeast"/>
              <w:jc w:val="center"/>
              <w:rPr>
                <w:sz w:val="24"/>
                <w:szCs w:val="24"/>
                <w:lang w:val="fr-FR" w:eastAsia="en-US"/>
              </w:rPr>
            </w:pPr>
          </w:p>
          <w:p w:rsidR="00374570" w:rsidRPr="00194B96" w:rsidRDefault="00151651" w:rsidP="00374570">
            <w:pPr>
              <w:spacing w:line="340" w:lineRule="atLeast"/>
              <w:jc w:val="center"/>
              <w:rPr>
                <w:sz w:val="24"/>
                <w:szCs w:val="24"/>
                <w:lang w:val="fr-FR" w:eastAsia="en-US"/>
              </w:rPr>
            </w:pPr>
            <w:r w:rsidRPr="00194B96">
              <w:rPr>
                <w:sz w:val="24"/>
                <w:szCs w:val="24"/>
                <w:lang w:val="fr-FR" w:eastAsia="en-US"/>
              </w:rPr>
              <w:t xml:space="preserve">Lot n°01 : travaux de réparation des sanitaires (bloc E) </w:t>
            </w:r>
          </w:p>
          <w:p w:rsidR="00374570" w:rsidRPr="00194B96" w:rsidRDefault="00374570" w:rsidP="0095280D">
            <w:pPr>
              <w:jc w:val="center"/>
              <w:rPr>
                <w:sz w:val="24"/>
                <w:szCs w:val="24"/>
                <w:lang w:val="fr-FR" w:eastAsia="en-US"/>
              </w:rPr>
            </w:pPr>
          </w:p>
        </w:tc>
        <w:tc>
          <w:tcPr>
            <w:tcW w:w="2835" w:type="dxa"/>
            <w:tcBorders>
              <w:top w:val="single" w:sz="4" w:space="0" w:color="000000" w:themeColor="text1"/>
              <w:left w:val="single" w:sz="4" w:space="0" w:color="auto"/>
              <w:bottom w:val="single" w:sz="4" w:space="0" w:color="auto"/>
              <w:right w:val="single" w:sz="4" w:space="0" w:color="000000" w:themeColor="text1"/>
            </w:tcBorders>
          </w:tcPr>
          <w:p w:rsidR="00374570" w:rsidRPr="00194B96" w:rsidRDefault="00374570" w:rsidP="00E8245C">
            <w:pPr>
              <w:spacing w:line="340" w:lineRule="atLeast"/>
              <w:jc w:val="center"/>
              <w:rPr>
                <w:sz w:val="24"/>
                <w:szCs w:val="24"/>
                <w:lang w:val="fr-FR" w:eastAsia="en-US"/>
              </w:rPr>
            </w:pPr>
            <w:r w:rsidRPr="00194B96">
              <w:rPr>
                <w:sz w:val="24"/>
                <w:szCs w:val="24"/>
                <w:lang w:val="fr-FR" w:eastAsia="en-US"/>
              </w:rPr>
              <w:t xml:space="preserve">SO1 : </w:t>
            </w:r>
            <w:r w:rsidR="00E8245C" w:rsidRPr="00194B96">
              <w:rPr>
                <w:sz w:val="24"/>
                <w:szCs w:val="24"/>
                <w:lang w:val="fr-FR" w:eastAsia="en-US"/>
              </w:rPr>
              <w:t xml:space="preserve">ETB TCE OUSMAIL ACHOUR </w:t>
            </w:r>
            <w:r w:rsidRPr="00194B96">
              <w:rPr>
                <w:sz w:val="24"/>
                <w:szCs w:val="24"/>
                <w:lang w:val="fr-FR" w:eastAsia="en-US"/>
              </w:rPr>
              <w:t xml:space="preserve">   </w:t>
            </w:r>
          </w:p>
          <w:p w:rsidR="00194B96" w:rsidRDefault="00374570" w:rsidP="00E8245C">
            <w:pPr>
              <w:jc w:val="center"/>
              <w:rPr>
                <w:rFonts w:asciiTheme="majorHAnsi" w:hAnsiTheme="majorHAnsi"/>
                <w:sz w:val="24"/>
                <w:szCs w:val="24"/>
                <w:lang w:val="fr-FR" w:eastAsia="en-US"/>
              </w:rPr>
            </w:pPr>
            <w:r w:rsidRPr="00194B96">
              <w:rPr>
                <w:rFonts w:asciiTheme="majorHAnsi" w:hAnsiTheme="majorHAnsi"/>
                <w:sz w:val="24"/>
                <w:szCs w:val="24"/>
                <w:lang w:val="fr-FR" w:eastAsia="en-US"/>
              </w:rPr>
              <w:t xml:space="preserve">NIF : </w:t>
            </w:r>
          </w:p>
          <w:p w:rsidR="00374570" w:rsidRPr="00194B96" w:rsidRDefault="00374570" w:rsidP="00E8245C">
            <w:pPr>
              <w:jc w:val="center"/>
              <w:rPr>
                <w:rFonts w:asciiTheme="majorHAnsi" w:hAnsiTheme="majorHAnsi"/>
                <w:sz w:val="24"/>
                <w:szCs w:val="24"/>
                <w:lang w:val="fr-FR" w:eastAsia="en-US"/>
              </w:rPr>
            </w:pPr>
            <w:r w:rsidRPr="00194B96">
              <w:rPr>
                <w:rFonts w:asciiTheme="majorHAnsi" w:hAnsiTheme="majorHAnsi"/>
                <w:sz w:val="24"/>
                <w:szCs w:val="24"/>
                <w:lang w:val="fr-FR" w:eastAsia="en-US"/>
              </w:rPr>
              <w:t>[</w:t>
            </w:r>
            <w:r w:rsidR="00194B96" w:rsidRPr="00194B96">
              <w:rPr>
                <w:rFonts w:asciiTheme="majorHAnsi" w:hAnsiTheme="majorHAnsi"/>
                <w:sz w:val="24"/>
                <w:szCs w:val="24"/>
                <w:lang w:val="fr-FR" w:eastAsia="en-US"/>
              </w:rPr>
              <w:t>193 150 102701150</w:t>
            </w:r>
            <w:r w:rsidRPr="00194B96">
              <w:rPr>
                <w:rFonts w:asciiTheme="majorHAnsi" w:hAnsiTheme="majorHAnsi"/>
                <w:sz w:val="24"/>
                <w:szCs w:val="24"/>
                <w:lang w:val="fr-FR" w:eastAsia="en-US"/>
              </w:rPr>
              <w:t>]</w:t>
            </w:r>
          </w:p>
          <w:p w:rsidR="00374570" w:rsidRPr="00E8245C" w:rsidRDefault="00374570" w:rsidP="00374570">
            <w:pPr>
              <w:spacing w:line="340" w:lineRule="atLeast"/>
              <w:jc w:val="center"/>
              <w:rPr>
                <w:lang w:val="fr-FR" w:eastAsia="en-US"/>
              </w:rPr>
            </w:pPr>
          </w:p>
        </w:tc>
        <w:tc>
          <w:tcPr>
            <w:tcW w:w="2551" w:type="dxa"/>
            <w:tcBorders>
              <w:top w:val="single" w:sz="4" w:space="0" w:color="000000" w:themeColor="text1"/>
              <w:left w:val="single" w:sz="4" w:space="0" w:color="000000" w:themeColor="text1"/>
              <w:bottom w:val="single" w:sz="4" w:space="0" w:color="auto"/>
              <w:right w:val="single" w:sz="4" w:space="0" w:color="000000" w:themeColor="text1"/>
            </w:tcBorders>
          </w:tcPr>
          <w:p w:rsidR="00374570" w:rsidRPr="00E8245C" w:rsidRDefault="00374570" w:rsidP="0095280D">
            <w:pPr>
              <w:spacing w:line="340" w:lineRule="atLeast"/>
              <w:jc w:val="center"/>
              <w:rPr>
                <w:lang w:val="fr-FR" w:eastAsia="en-US"/>
              </w:rPr>
            </w:pPr>
          </w:p>
          <w:p w:rsidR="00374570" w:rsidRPr="00194B96" w:rsidRDefault="00E8245C" w:rsidP="0095280D">
            <w:pPr>
              <w:spacing w:line="340" w:lineRule="atLeast"/>
              <w:jc w:val="center"/>
              <w:rPr>
                <w:b/>
                <w:bCs/>
                <w:sz w:val="24"/>
                <w:szCs w:val="24"/>
                <w:lang w:val="fr-FR" w:eastAsia="en-US"/>
              </w:rPr>
            </w:pPr>
            <w:r w:rsidRPr="00194B96">
              <w:rPr>
                <w:b/>
                <w:bCs/>
                <w:sz w:val="24"/>
                <w:szCs w:val="24"/>
                <w:lang w:val="fr-FR" w:eastAsia="en-US"/>
              </w:rPr>
              <w:t xml:space="preserve">721 140.00 </w:t>
            </w:r>
            <w:r w:rsidR="00374570" w:rsidRPr="00194B96">
              <w:rPr>
                <w:b/>
                <w:bCs/>
                <w:sz w:val="24"/>
                <w:szCs w:val="24"/>
                <w:lang w:val="fr-FR" w:eastAsia="en-US"/>
              </w:rPr>
              <w:t xml:space="preserve"> DA TTC</w:t>
            </w:r>
          </w:p>
        </w:tc>
        <w:tc>
          <w:tcPr>
            <w:tcW w:w="1685" w:type="dxa"/>
            <w:tcBorders>
              <w:top w:val="single" w:sz="4" w:space="0" w:color="000000" w:themeColor="text1"/>
              <w:left w:val="single" w:sz="4" w:space="0" w:color="000000" w:themeColor="text1"/>
              <w:bottom w:val="single" w:sz="4" w:space="0" w:color="auto"/>
              <w:right w:val="single" w:sz="4" w:space="0" w:color="000000" w:themeColor="text1"/>
            </w:tcBorders>
          </w:tcPr>
          <w:p w:rsidR="00374570" w:rsidRPr="00E8245C" w:rsidRDefault="00374570" w:rsidP="0095280D">
            <w:pPr>
              <w:spacing w:line="340" w:lineRule="atLeast"/>
              <w:jc w:val="center"/>
              <w:rPr>
                <w:lang w:val="fr-FR" w:eastAsia="en-US"/>
              </w:rPr>
            </w:pPr>
          </w:p>
          <w:p w:rsidR="00374570" w:rsidRPr="00E8245C" w:rsidRDefault="00E8245C" w:rsidP="0095280D">
            <w:pPr>
              <w:spacing w:line="340" w:lineRule="atLeast"/>
              <w:jc w:val="center"/>
              <w:rPr>
                <w:lang w:val="fr-FR" w:eastAsia="en-US"/>
              </w:rPr>
            </w:pPr>
            <w:r w:rsidRPr="00E8245C">
              <w:rPr>
                <w:lang w:val="fr-FR" w:eastAsia="en-US"/>
              </w:rPr>
              <w:t xml:space="preserve">13.00 </w:t>
            </w:r>
            <w:r w:rsidR="00374570" w:rsidRPr="00E8245C">
              <w:rPr>
                <w:lang w:val="fr-FR" w:eastAsia="en-US"/>
              </w:rPr>
              <w:t xml:space="preserve"> pts</w:t>
            </w:r>
          </w:p>
        </w:tc>
        <w:tc>
          <w:tcPr>
            <w:tcW w:w="2219" w:type="dxa"/>
            <w:tcBorders>
              <w:top w:val="single" w:sz="4" w:space="0" w:color="000000" w:themeColor="text1"/>
              <w:left w:val="single" w:sz="4" w:space="0" w:color="000000" w:themeColor="text1"/>
              <w:bottom w:val="single" w:sz="4" w:space="0" w:color="auto"/>
              <w:right w:val="single" w:sz="4" w:space="0" w:color="000000" w:themeColor="text1"/>
            </w:tcBorders>
          </w:tcPr>
          <w:p w:rsidR="00374570" w:rsidRPr="008140CD" w:rsidRDefault="00374570" w:rsidP="0095280D">
            <w:pPr>
              <w:spacing w:line="340" w:lineRule="atLeast"/>
              <w:jc w:val="center"/>
              <w:rPr>
                <w:sz w:val="24"/>
                <w:szCs w:val="24"/>
                <w:lang w:val="fr-FR" w:eastAsia="en-US"/>
              </w:rPr>
            </w:pPr>
          </w:p>
          <w:p w:rsidR="00374570" w:rsidRPr="008140CD" w:rsidRDefault="00E8245C" w:rsidP="00374570">
            <w:pPr>
              <w:spacing w:line="340" w:lineRule="atLeast"/>
              <w:jc w:val="center"/>
              <w:rPr>
                <w:sz w:val="24"/>
                <w:szCs w:val="24"/>
                <w:lang w:val="fr-FR" w:eastAsia="en-US"/>
              </w:rPr>
            </w:pPr>
            <w:r w:rsidRPr="008140CD">
              <w:rPr>
                <w:sz w:val="24"/>
                <w:szCs w:val="24"/>
                <w:lang w:val="fr-FR" w:eastAsia="en-US"/>
              </w:rPr>
              <w:t xml:space="preserve">Offre la moins distante  </w:t>
            </w:r>
          </w:p>
        </w:tc>
      </w:tr>
      <w:tr w:rsidR="00374570" w:rsidTr="00194B96">
        <w:trPr>
          <w:trHeight w:val="1935"/>
        </w:trPr>
        <w:tc>
          <w:tcPr>
            <w:tcW w:w="2464" w:type="dxa"/>
            <w:vMerge/>
            <w:tcBorders>
              <w:left w:val="single" w:sz="4" w:space="0" w:color="000000" w:themeColor="text1"/>
              <w:bottom w:val="single" w:sz="4" w:space="0" w:color="000000" w:themeColor="text1"/>
              <w:right w:val="single" w:sz="4" w:space="0" w:color="000000" w:themeColor="text1"/>
            </w:tcBorders>
          </w:tcPr>
          <w:p w:rsidR="00374570" w:rsidRPr="00E8245C" w:rsidRDefault="00374570" w:rsidP="0095280D">
            <w:pPr>
              <w:spacing w:line="340" w:lineRule="atLeast"/>
              <w:rPr>
                <w:rFonts w:ascii="Trebuchet MS" w:hAnsi="Trebuchet MS" w:cs="Arial"/>
                <w:b/>
                <w:lang w:val="fr-FR" w:eastAsia="en-US"/>
              </w:rPr>
            </w:pPr>
          </w:p>
        </w:tc>
        <w:tc>
          <w:tcPr>
            <w:tcW w:w="2464" w:type="dxa"/>
            <w:tcBorders>
              <w:top w:val="single" w:sz="4" w:space="0" w:color="auto"/>
              <w:left w:val="single" w:sz="4" w:space="0" w:color="000000" w:themeColor="text1"/>
              <w:bottom w:val="single" w:sz="4" w:space="0" w:color="000000" w:themeColor="text1"/>
              <w:right w:val="single" w:sz="4" w:space="0" w:color="auto"/>
            </w:tcBorders>
          </w:tcPr>
          <w:p w:rsidR="00374570" w:rsidRPr="00194B96" w:rsidRDefault="00151651" w:rsidP="00374570">
            <w:pPr>
              <w:jc w:val="center"/>
              <w:rPr>
                <w:sz w:val="24"/>
                <w:szCs w:val="24"/>
                <w:lang w:val="fr-FR" w:eastAsia="en-US"/>
              </w:rPr>
            </w:pPr>
            <w:r w:rsidRPr="00194B96">
              <w:rPr>
                <w:sz w:val="24"/>
                <w:szCs w:val="24"/>
                <w:lang w:val="fr-FR" w:eastAsia="en-US"/>
              </w:rPr>
              <w:t xml:space="preserve">Lot n°02 : travaux de ferronnerie </w:t>
            </w:r>
          </w:p>
        </w:tc>
        <w:tc>
          <w:tcPr>
            <w:tcW w:w="2835" w:type="dxa"/>
            <w:tcBorders>
              <w:top w:val="single" w:sz="4" w:space="0" w:color="auto"/>
              <w:left w:val="single" w:sz="4" w:space="0" w:color="auto"/>
              <w:bottom w:val="single" w:sz="4" w:space="0" w:color="000000" w:themeColor="text1"/>
              <w:right w:val="single" w:sz="4" w:space="0" w:color="000000" w:themeColor="text1"/>
            </w:tcBorders>
          </w:tcPr>
          <w:p w:rsidR="00374570" w:rsidRPr="00194B96" w:rsidRDefault="00374570" w:rsidP="00E8245C">
            <w:pPr>
              <w:spacing w:line="340" w:lineRule="atLeast"/>
              <w:jc w:val="center"/>
              <w:rPr>
                <w:sz w:val="24"/>
                <w:szCs w:val="24"/>
                <w:lang w:val="fr-FR" w:eastAsia="en-US"/>
              </w:rPr>
            </w:pPr>
            <w:r w:rsidRPr="00194B96">
              <w:rPr>
                <w:sz w:val="24"/>
                <w:szCs w:val="24"/>
                <w:lang w:val="fr-FR" w:eastAsia="en-US"/>
              </w:rPr>
              <w:t>SO</w:t>
            </w:r>
            <w:r w:rsidR="00E8245C" w:rsidRPr="00194B96">
              <w:rPr>
                <w:sz w:val="24"/>
                <w:szCs w:val="24"/>
                <w:lang w:val="fr-FR" w:eastAsia="en-US"/>
              </w:rPr>
              <w:t>3</w:t>
            </w:r>
            <w:r w:rsidRPr="00194B96">
              <w:rPr>
                <w:sz w:val="24"/>
                <w:szCs w:val="24"/>
                <w:lang w:val="fr-FR" w:eastAsia="en-US"/>
              </w:rPr>
              <w:t>: ET</w:t>
            </w:r>
            <w:r w:rsidR="00E8245C" w:rsidRPr="00194B96">
              <w:rPr>
                <w:sz w:val="24"/>
                <w:szCs w:val="24"/>
                <w:lang w:val="fr-FR" w:eastAsia="en-US"/>
              </w:rPr>
              <w:t xml:space="preserve">BHP TCE OUSMAIL AMAR </w:t>
            </w:r>
          </w:p>
          <w:p w:rsidR="00374570" w:rsidRPr="00194B96" w:rsidRDefault="00374570" w:rsidP="00E8245C">
            <w:pPr>
              <w:jc w:val="center"/>
              <w:rPr>
                <w:rFonts w:asciiTheme="majorHAnsi" w:hAnsiTheme="majorHAnsi"/>
                <w:sz w:val="24"/>
                <w:szCs w:val="24"/>
                <w:lang w:val="fr-FR" w:eastAsia="en-US"/>
              </w:rPr>
            </w:pPr>
            <w:r w:rsidRPr="00194B96">
              <w:rPr>
                <w:rFonts w:asciiTheme="majorHAnsi" w:hAnsiTheme="majorHAnsi"/>
                <w:sz w:val="24"/>
                <w:szCs w:val="24"/>
                <w:lang w:val="fr-FR" w:eastAsia="en-US"/>
              </w:rPr>
              <w:t>NIF : [</w:t>
            </w:r>
            <w:r w:rsidR="008140CD">
              <w:rPr>
                <w:rFonts w:asciiTheme="majorHAnsi" w:hAnsiTheme="majorHAnsi"/>
                <w:sz w:val="24"/>
                <w:szCs w:val="24"/>
                <w:lang w:val="fr-FR" w:eastAsia="en-US"/>
              </w:rPr>
              <w:t>175150400362124</w:t>
            </w:r>
            <w:r w:rsidRPr="00194B96">
              <w:rPr>
                <w:rFonts w:asciiTheme="majorHAnsi" w:hAnsiTheme="majorHAnsi"/>
                <w:sz w:val="24"/>
                <w:szCs w:val="24"/>
                <w:lang w:val="fr-FR" w:eastAsia="en-US"/>
              </w:rPr>
              <w:t>]</w:t>
            </w:r>
          </w:p>
          <w:p w:rsidR="00374570" w:rsidRPr="00E8245C" w:rsidRDefault="00374570" w:rsidP="0095280D">
            <w:pPr>
              <w:spacing w:line="340" w:lineRule="atLeast"/>
              <w:jc w:val="center"/>
              <w:rPr>
                <w:lang w:val="fr-FR" w:eastAsia="en-US"/>
              </w:rPr>
            </w:pPr>
          </w:p>
        </w:tc>
        <w:tc>
          <w:tcPr>
            <w:tcW w:w="2551" w:type="dxa"/>
            <w:tcBorders>
              <w:top w:val="single" w:sz="4" w:space="0" w:color="auto"/>
              <w:left w:val="single" w:sz="4" w:space="0" w:color="000000" w:themeColor="text1"/>
              <w:bottom w:val="single" w:sz="4" w:space="0" w:color="000000" w:themeColor="text1"/>
              <w:right w:val="single" w:sz="4" w:space="0" w:color="000000" w:themeColor="text1"/>
            </w:tcBorders>
          </w:tcPr>
          <w:p w:rsidR="00374570" w:rsidRPr="00194B96" w:rsidRDefault="00E8245C" w:rsidP="0095280D">
            <w:pPr>
              <w:spacing w:line="340" w:lineRule="atLeast"/>
              <w:jc w:val="center"/>
              <w:rPr>
                <w:b/>
                <w:bCs/>
                <w:sz w:val="24"/>
                <w:szCs w:val="24"/>
                <w:lang w:val="fr-FR" w:eastAsia="en-US"/>
              </w:rPr>
            </w:pPr>
            <w:r w:rsidRPr="00194B96">
              <w:rPr>
                <w:b/>
                <w:bCs/>
                <w:sz w:val="24"/>
                <w:szCs w:val="24"/>
                <w:lang w:val="fr-FR" w:eastAsia="en-US"/>
              </w:rPr>
              <w:t xml:space="preserve">178 500.00 DA TTC </w:t>
            </w:r>
          </w:p>
        </w:tc>
        <w:tc>
          <w:tcPr>
            <w:tcW w:w="1685" w:type="dxa"/>
            <w:tcBorders>
              <w:top w:val="single" w:sz="4" w:space="0" w:color="auto"/>
              <w:left w:val="single" w:sz="4" w:space="0" w:color="000000" w:themeColor="text1"/>
              <w:bottom w:val="single" w:sz="4" w:space="0" w:color="000000" w:themeColor="text1"/>
              <w:right w:val="single" w:sz="4" w:space="0" w:color="000000" w:themeColor="text1"/>
            </w:tcBorders>
          </w:tcPr>
          <w:p w:rsidR="00374570" w:rsidRPr="00E8245C" w:rsidRDefault="00E8245C" w:rsidP="0095280D">
            <w:pPr>
              <w:spacing w:line="340" w:lineRule="atLeast"/>
              <w:jc w:val="center"/>
              <w:rPr>
                <w:lang w:val="fr-FR" w:eastAsia="en-US"/>
              </w:rPr>
            </w:pPr>
            <w:r w:rsidRPr="00E8245C">
              <w:rPr>
                <w:lang w:val="fr-FR" w:eastAsia="en-US"/>
              </w:rPr>
              <w:t>16.16  pts</w:t>
            </w:r>
          </w:p>
        </w:tc>
        <w:tc>
          <w:tcPr>
            <w:tcW w:w="2219" w:type="dxa"/>
            <w:tcBorders>
              <w:top w:val="single" w:sz="4" w:space="0" w:color="auto"/>
              <w:left w:val="single" w:sz="4" w:space="0" w:color="000000" w:themeColor="text1"/>
              <w:bottom w:val="single" w:sz="4" w:space="0" w:color="000000" w:themeColor="text1"/>
              <w:right w:val="single" w:sz="4" w:space="0" w:color="000000" w:themeColor="text1"/>
            </w:tcBorders>
          </w:tcPr>
          <w:p w:rsidR="00374570" w:rsidRPr="008140CD" w:rsidRDefault="00E8245C" w:rsidP="0095280D">
            <w:pPr>
              <w:spacing w:line="340" w:lineRule="atLeast"/>
              <w:jc w:val="center"/>
              <w:rPr>
                <w:sz w:val="24"/>
                <w:szCs w:val="24"/>
                <w:lang w:val="fr-FR" w:eastAsia="en-US"/>
              </w:rPr>
            </w:pPr>
            <w:r w:rsidRPr="008140CD">
              <w:rPr>
                <w:sz w:val="24"/>
                <w:szCs w:val="24"/>
                <w:lang w:val="fr-FR" w:eastAsia="en-US"/>
              </w:rPr>
              <w:t xml:space="preserve">Offre la moins distante  </w:t>
            </w:r>
          </w:p>
        </w:tc>
      </w:tr>
    </w:tbl>
    <w:p w:rsidR="00527919" w:rsidRDefault="00527919" w:rsidP="00527919">
      <w:pPr>
        <w:pStyle w:val="Corpsdetexte"/>
        <w:ind w:right="567" w:firstLine="708"/>
        <w:jc w:val="both"/>
        <w:rPr>
          <w:sz w:val="28"/>
          <w:szCs w:val="28"/>
          <w:lang w:val="fr-FR"/>
        </w:rPr>
      </w:pPr>
    </w:p>
    <w:p w:rsidR="00527919" w:rsidRDefault="00527919" w:rsidP="00527919">
      <w:pPr>
        <w:pStyle w:val="Corpsdetexte"/>
        <w:ind w:right="567"/>
        <w:jc w:val="both"/>
        <w:rPr>
          <w:sz w:val="28"/>
          <w:szCs w:val="28"/>
          <w:lang w:val="fr-FR"/>
        </w:rPr>
      </w:pPr>
      <w:r>
        <w:rPr>
          <w:sz w:val="28"/>
          <w:szCs w:val="28"/>
          <w:lang w:val="fr-FR"/>
        </w:rPr>
        <w:t xml:space="preserve"> </w:t>
      </w:r>
      <w:r>
        <w:rPr>
          <w:sz w:val="28"/>
          <w:szCs w:val="28"/>
          <w:lang w:val="fr-FR"/>
        </w:rPr>
        <w:tab/>
        <w:t xml:space="preserve"> -Tout soumissionnaire contestant le choix opéré par le service contractant peut introduire un recours dans les 10 jours qui suivent la  date de publication du présent avis auprès de la commission de l’université et ce conformément aux dispositions de l’</w:t>
      </w:r>
      <w:r>
        <w:rPr>
          <w:color w:val="000000"/>
          <w:sz w:val="28"/>
          <w:szCs w:val="28"/>
          <w:lang w:val="fr-FR"/>
        </w:rPr>
        <w:t>article 82  du décret présidentiel n°15-247 du 16 Septembre 2015</w:t>
      </w:r>
      <w:r>
        <w:rPr>
          <w:sz w:val="28"/>
          <w:szCs w:val="28"/>
          <w:lang w:val="fr-FR"/>
        </w:rPr>
        <w:t xml:space="preserve"> portant  réglementation des marchés publics et délégation de service public. Si le dixième jour coïncide avec un jour férié ou un jour de repos légal, la date limite pour introduire un recours est prorogée au jour ouvrable suivant.</w:t>
      </w:r>
    </w:p>
    <w:p w:rsidR="00527919" w:rsidRDefault="00527919" w:rsidP="00527919">
      <w:pPr>
        <w:pStyle w:val="Corpsdetexte"/>
        <w:ind w:right="567" w:firstLine="708"/>
        <w:jc w:val="both"/>
        <w:rPr>
          <w:b/>
          <w:bCs/>
          <w:sz w:val="28"/>
          <w:szCs w:val="28"/>
          <w:lang w:val="fr-FR"/>
        </w:rPr>
      </w:pPr>
      <w:r>
        <w:rPr>
          <w:sz w:val="28"/>
          <w:szCs w:val="28"/>
          <w:lang w:val="fr-FR"/>
        </w:rPr>
        <w:t xml:space="preserve"> -Conformément aux dispositions de l’</w:t>
      </w:r>
      <w:r>
        <w:rPr>
          <w:color w:val="000000"/>
          <w:sz w:val="28"/>
          <w:szCs w:val="28"/>
          <w:lang w:val="fr-FR"/>
        </w:rPr>
        <w:t xml:space="preserve">article 82  </w:t>
      </w:r>
      <w:r>
        <w:rPr>
          <w:sz w:val="28"/>
          <w:szCs w:val="28"/>
          <w:lang w:val="fr-FR"/>
        </w:rPr>
        <w:t>du décret  présidentiel n°15-247 du 16 Septembre 2015 portant réglementation des marchés publics et délégation  de service public , les autres soumissionnaires sont invités le cas échéant  à se rapprocher des services de l’université Mouloud MAMMERI de Tizi-Ouzou au plus tard trois (03) jours à compter du premier jour de la publication de cet avis pour  prendre connaissance des résultats détaillés de l’évaluation de leurs offres techniques et financières.</w:t>
      </w:r>
      <w:r>
        <w:rPr>
          <w:b/>
          <w:bCs/>
          <w:sz w:val="28"/>
          <w:szCs w:val="28"/>
          <w:lang w:val="fr-FR"/>
        </w:rPr>
        <w:t xml:space="preserve">       </w:t>
      </w:r>
    </w:p>
    <w:p w:rsidR="00527919" w:rsidRDefault="00527919" w:rsidP="00527919">
      <w:pPr>
        <w:pStyle w:val="Corpsdetexte"/>
        <w:ind w:right="567" w:firstLine="708"/>
        <w:jc w:val="both"/>
        <w:rPr>
          <w:b/>
          <w:bCs/>
          <w:sz w:val="28"/>
          <w:szCs w:val="28"/>
          <w:rtl/>
          <w:lang w:val="fr-FR"/>
        </w:rPr>
      </w:pPr>
    </w:p>
    <w:p w:rsidR="00527919" w:rsidRDefault="00527919" w:rsidP="00527919">
      <w:pPr>
        <w:pStyle w:val="Corpsdetexte"/>
        <w:ind w:right="567" w:firstLine="708"/>
        <w:jc w:val="both"/>
        <w:rPr>
          <w:sz w:val="28"/>
          <w:szCs w:val="28"/>
          <w:lang w:val="fr-FR"/>
        </w:rPr>
      </w:pPr>
      <w:r>
        <w:rPr>
          <w:b/>
          <w:bCs/>
          <w:sz w:val="28"/>
          <w:szCs w:val="28"/>
          <w:lang w:val="fr-FR"/>
        </w:rPr>
        <w:t xml:space="preserve">                                                                                         </w:t>
      </w:r>
    </w:p>
    <w:p w:rsidR="00527919" w:rsidRDefault="00527919" w:rsidP="00527919">
      <w:pPr>
        <w:pStyle w:val="Corpsdetexte"/>
        <w:ind w:right="567" w:firstLine="708"/>
        <w:jc w:val="right"/>
        <w:rPr>
          <w:b/>
          <w:bCs/>
          <w:sz w:val="28"/>
          <w:szCs w:val="28"/>
          <w:lang w:val="fr-FR"/>
        </w:rPr>
      </w:pPr>
    </w:p>
    <w:p w:rsidR="00527919" w:rsidRDefault="00527919" w:rsidP="00527919">
      <w:pPr>
        <w:pStyle w:val="Corpsdetexte"/>
        <w:ind w:right="567" w:firstLine="708"/>
        <w:jc w:val="center"/>
        <w:rPr>
          <w:b/>
          <w:bCs/>
          <w:sz w:val="28"/>
          <w:szCs w:val="28"/>
          <w:lang w:val="fr-FR"/>
        </w:rPr>
      </w:pPr>
      <w:r>
        <w:rPr>
          <w:b/>
          <w:bCs/>
          <w:sz w:val="28"/>
          <w:szCs w:val="28"/>
          <w:lang w:val="fr-FR"/>
        </w:rPr>
        <w:t xml:space="preserve">                                                        Fait à TAMDA, le 14/11/2023</w:t>
      </w:r>
    </w:p>
    <w:p w:rsidR="00527919" w:rsidRDefault="00527919" w:rsidP="00527919">
      <w:pPr>
        <w:pStyle w:val="Corpsdetexte"/>
        <w:ind w:right="567" w:firstLine="708"/>
        <w:jc w:val="center"/>
        <w:rPr>
          <w:b/>
          <w:bCs/>
          <w:sz w:val="28"/>
          <w:szCs w:val="28"/>
          <w:lang w:val="fr-FR"/>
        </w:rPr>
      </w:pPr>
    </w:p>
    <w:p w:rsidR="00527919" w:rsidRDefault="00527919" w:rsidP="00527919">
      <w:pPr>
        <w:pStyle w:val="Corpsdetexte"/>
        <w:ind w:right="567" w:firstLine="708"/>
        <w:jc w:val="center"/>
        <w:rPr>
          <w:b/>
          <w:bCs/>
          <w:sz w:val="28"/>
          <w:szCs w:val="28"/>
          <w:lang w:val="fr-FR"/>
        </w:rPr>
      </w:pPr>
      <w:r>
        <w:rPr>
          <w:b/>
          <w:bCs/>
          <w:sz w:val="28"/>
          <w:szCs w:val="28"/>
          <w:lang w:val="fr-FR"/>
        </w:rPr>
        <w:t xml:space="preserve">                                                           Le Doyen</w:t>
      </w:r>
    </w:p>
    <w:p w:rsidR="00527919" w:rsidRPr="00174DF9" w:rsidRDefault="00527919" w:rsidP="00527919">
      <w:pPr>
        <w:rPr>
          <w:lang w:val="fr-FR"/>
        </w:rPr>
      </w:pPr>
    </w:p>
    <w:p w:rsidR="00BA3DEB" w:rsidRPr="00527919" w:rsidRDefault="00BA3DEB">
      <w:pPr>
        <w:rPr>
          <w:lang w:val="fr-FR"/>
        </w:rPr>
      </w:pPr>
    </w:p>
    <w:sectPr w:rsidR="00BA3DEB" w:rsidRPr="00527919" w:rsidSect="00174DF9">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7919"/>
    <w:rsid w:val="00151651"/>
    <w:rsid w:val="00194B96"/>
    <w:rsid w:val="002C3DF7"/>
    <w:rsid w:val="00374570"/>
    <w:rsid w:val="00527919"/>
    <w:rsid w:val="008140CD"/>
    <w:rsid w:val="00BA3DEB"/>
    <w:rsid w:val="00C46527"/>
    <w:rsid w:val="00C545C4"/>
    <w:rsid w:val="00D77E08"/>
    <w:rsid w:val="00E824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19"/>
    <w:pPr>
      <w:spacing w:after="0" w:line="240" w:lineRule="auto"/>
    </w:pPr>
    <w:rPr>
      <w:rFonts w:ascii="Times New Roman" w:eastAsia="Times New Roman" w:hAnsi="Times New Roman" w:cs="Times New Roman"/>
      <w:sz w:val="20"/>
      <w:szCs w:val="20"/>
      <w:lang w:val="es-MX" w:eastAsia="fr-FR"/>
    </w:rPr>
  </w:style>
  <w:style w:type="paragraph" w:styleId="Titre1">
    <w:name w:val="heading 1"/>
    <w:basedOn w:val="Normal"/>
    <w:next w:val="Normal"/>
    <w:link w:val="Titre1Car"/>
    <w:qFormat/>
    <w:rsid w:val="00527919"/>
    <w:pPr>
      <w:keepNext/>
      <w:outlineLvl w:val="0"/>
    </w:pPr>
    <w:rPr>
      <w:b/>
      <w:bCs/>
      <w:sz w:val="28"/>
      <w:szCs w:val="28"/>
      <w:lang w:val="fr-FR"/>
    </w:rPr>
  </w:style>
  <w:style w:type="paragraph" w:styleId="Titre2">
    <w:name w:val="heading 2"/>
    <w:basedOn w:val="Normal"/>
    <w:next w:val="Normal"/>
    <w:link w:val="Titre2Car"/>
    <w:semiHidden/>
    <w:unhideWhenUsed/>
    <w:qFormat/>
    <w:rsid w:val="00527919"/>
    <w:pPr>
      <w:keepNext/>
      <w:jc w:val="center"/>
      <w:outlineLvl w:val="1"/>
    </w:pPr>
    <w:rPr>
      <w:b/>
      <w:bCs/>
      <w:sz w:val="32"/>
      <w:szCs w:val="32"/>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27919"/>
    <w:rPr>
      <w:rFonts w:ascii="Times New Roman" w:eastAsia="Times New Roman" w:hAnsi="Times New Roman" w:cs="Times New Roman"/>
      <w:b/>
      <w:bCs/>
      <w:sz w:val="28"/>
      <w:szCs w:val="28"/>
      <w:lang w:eastAsia="fr-FR"/>
    </w:rPr>
  </w:style>
  <w:style w:type="character" w:customStyle="1" w:styleId="Titre2Car">
    <w:name w:val="Titre 2 Car"/>
    <w:basedOn w:val="Policepardfaut"/>
    <w:link w:val="Titre2"/>
    <w:semiHidden/>
    <w:rsid w:val="00527919"/>
    <w:rPr>
      <w:rFonts w:ascii="Times New Roman" w:eastAsia="Times New Roman" w:hAnsi="Times New Roman" w:cs="Times New Roman"/>
      <w:b/>
      <w:bCs/>
      <w:sz w:val="32"/>
      <w:szCs w:val="32"/>
      <w:u w:val="single"/>
      <w:lang w:eastAsia="fr-FR"/>
    </w:rPr>
  </w:style>
  <w:style w:type="paragraph" w:styleId="Corpsdetexte">
    <w:name w:val="Body Text"/>
    <w:basedOn w:val="Normal"/>
    <w:link w:val="CorpsdetexteCar"/>
    <w:semiHidden/>
    <w:unhideWhenUsed/>
    <w:rsid w:val="00527919"/>
    <w:rPr>
      <w:sz w:val="24"/>
      <w:szCs w:val="24"/>
    </w:rPr>
  </w:style>
  <w:style w:type="character" w:customStyle="1" w:styleId="CorpsdetexteCar">
    <w:name w:val="Corps de texte Car"/>
    <w:basedOn w:val="Policepardfaut"/>
    <w:link w:val="Corpsdetexte"/>
    <w:semiHidden/>
    <w:rsid w:val="00527919"/>
    <w:rPr>
      <w:rFonts w:ascii="Times New Roman" w:eastAsia="Times New Roman" w:hAnsi="Times New Roman" w:cs="Times New Roman"/>
      <w:sz w:val="24"/>
      <w:szCs w:val="24"/>
      <w:lang w:val="es-MX" w:eastAsia="fr-FR"/>
    </w:rPr>
  </w:style>
  <w:style w:type="table" w:styleId="Grilledutableau">
    <w:name w:val="Table Grid"/>
    <w:basedOn w:val="TableauNormal"/>
    <w:uiPriority w:val="59"/>
    <w:rsid w:val="005279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491</Words>
  <Characters>2705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B1</cp:lastModifiedBy>
  <cp:revision>5</cp:revision>
  <dcterms:created xsi:type="dcterms:W3CDTF">2023-11-14T12:16:00Z</dcterms:created>
  <dcterms:modified xsi:type="dcterms:W3CDTF">2023-11-14T13:01:00Z</dcterms:modified>
</cp:coreProperties>
</file>